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57" w:rsidRPr="00804157" w:rsidRDefault="00804157" w:rsidP="00804157">
      <w:pPr>
        <w:pBdr>
          <w:bottom w:val="single" w:sz="36" w:space="4" w:color="333333"/>
        </w:pBdr>
        <w:spacing w:after="0" w:line="336" w:lineRule="atLeast"/>
        <w:textAlignment w:val="baseline"/>
        <w:outlineLvl w:val="1"/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</w:pPr>
      <w:bookmarkStart w:id="0" w:name="_GoBack"/>
      <w:bookmarkEnd w:id="0"/>
      <w:r w:rsidRPr="00804157"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  <w:t>ГЛЮКОЗАМИН — ДЛЯ ЛЕЧЕНИЯ СУСТАВОВ</w:t>
      </w:r>
    </w:p>
    <w:p w:rsidR="00804157" w:rsidRPr="00804157" w:rsidRDefault="00804157" w:rsidP="00804157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1EFF3B8C" wp14:editId="409C3F6E">
            <wp:extent cx="2280920" cy="1524000"/>
            <wp:effectExtent l="0" t="0" r="5080" b="0"/>
            <wp:docPr id="4" name="Рисунок 4" descr="Таблетки Глюкозам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етки Глюкозам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Беречь смолоду надо не только честь, но и суставы. Звучит смешно, но на самом деле так и есть. Правильное питание, отказ от вредных привычек, систематические физические нагрузки будут способствовать укреплению организма и, в том числе, суставной его части. Однако, что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делать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если болезни уже не миновать?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Самым эффективным способом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является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конечно же медикаментозная терапия, способствующая снятию болевого синдрома и воспаления в пораженном очаге.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Одним из распространенных лекарств широко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применяющийся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в лечебной практике считается Глюкозамин. Название препарата происходит от вещества, входящего в состав синовиальной жидкости. Таблетки Глюкозамин принадлежат к ряду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хондропротекторов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направлены на постепенное избавление от артрических недугов различной этиологии.</w:t>
      </w:r>
    </w:p>
    <w:p w:rsidR="00804157" w:rsidRPr="00804157" w:rsidRDefault="00804157" w:rsidP="00804157">
      <w:pPr>
        <w:spacing w:before="288" w:after="72" w:line="240" w:lineRule="atLeast"/>
        <w:textAlignment w:val="baseline"/>
        <w:outlineLvl w:val="2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Основные характеристики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Вырабатываясь в организме человека клетками гиалинового хряща, полисахарид играет огромную роль в процессе синтезирования некоторых белков и жиров, способствуя тем самым образованию новой хрящевой ткани.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Неоспоримым плюсом от употребления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хондропротекторов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глюкозамина в частности является уникальная способность веществ оказывать непосредственное воздействие на пораженные участки суставов и создавать новые клетки, при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этом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не позволяя нарушаться воспаленной ткани.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На сегодняшний день это средство признается многими исследователями как эффективное средство с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антиревматологическим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противовоспалительным эффектом.</w:t>
      </w:r>
    </w:p>
    <w:p w:rsidR="00804157" w:rsidRPr="00804157" w:rsidRDefault="00804157" w:rsidP="00804157">
      <w:pPr>
        <w:shd w:val="clear" w:color="auto" w:fill="8C0000"/>
        <w:spacing w:after="0"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proofErr w:type="spellStart"/>
      <w:r w:rsidRPr="00804157"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lastRenderedPageBreak/>
        <w:t>Glucosamine</w:t>
      </w:r>
      <w:proofErr w:type="spellEnd"/>
    </w:p>
    <w:p w:rsidR="00804157" w:rsidRPr="00804157" w:rsidRDefault="00804157" w:rsidP="00804157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444444"/>
          <w:sz w:val="28"/>
          <w:szCs w:val="28"/>
          <w:lang w:eastAsia="ru-RU"/>
        </w:rPr>
        <w:t>.</w:t>
      </w:r>
    </w:p>
    <w:p w:rsidR="00804157" w:rsidRPr="00804157" w:rsidRDefault="00804157" w:rsidP="00804157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noProof/>
          <w:color w:val="444444"/>
          <w:sz w:val="28"/>
          <w:szCs w:val="28"/>
          <w:lang w:eastAsia="ru-RU"/>
        </w:rPr>
        <w:drawing>
          <wp:inline distT="0" distB="0" distL="0" distR="0" wp14:anchorId="453A2312" wp14:editId="626047A6">
            <wp:extent cx="4225290" cy="2385695"/>
            <wp:effectExtent l="0" t="0" r="3810" b="0"/>
            <wp:docPr id="3" name="Рисунок 3" descr="g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57" w:rsidRPr="00804157" w:rsidRDefault="00804157" w:rsidP="00804157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444444"/>
          <w:sz w:val="28"/>
          <w:szCs w:val="28"/>
          <w:lang w:eastAsia="ru-RU"/>
        </w:rPr>
        <w:t xml:space="preserve">Рекомендуемая дозировка – одна или две таблетки в день, в каждой из которых содержится 900 </w:t>
      </w:r>
      <w:proofErr w:type="spellStart"/>
      <w:r w:rsidRPr="00804157">
        <w:rPr>
          <w:rFonts w:ascii="Georgia" w:eastAsia="Times New Roman" w:hAnsi="Georgia" w:cs="Tahoma"/>
          <w:color w:val="444444"/>
          <w:sz w:val="28"/>
          <w:szCs w:val="28"/>
          <w:lang w:eastAsia="ru-RU"/>
        </w:rPr>
        <w:t>mg</w:t>
      </w:r>
      <w:proofErr w:type="spellEnd"/>
      <w:r w:rsidRPr="00804157">
        <w:rPr>
          <w:rFonts w:ascii="Georgia" w:eastAsia="Times New Roman" w:hAnsi="Georgia" w:cs="Tahoma"/>
          <w:color w:val="444444"/>
          <w:sz w:val="28"/>
          <w:szCs w:val="28"/>
          <w:lang w:eastAsia="ru-RU"/>
        </w:rPr>
        <w:t xml:space="preserve"> действующего вещества.</w:t>
      </w:r>
    </w:p>
    <w:p w:rsidR="00804157" w:rsidRPr="00804157" w:rsidRDefault="00804157" w:rsidP="00804157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noProof/>
          <w:color w:val="444444"/>
          <w:sz w:val="28"/>
          <w:szCs w:val="28"/>
          <w:lang w:eastAsia="ru-RU"/>
        </w:rPr>
        <w:drawing>
          <wp:inline distT="0" distB="0" distL="0" distR="0" wp14:anchorId="22A98A8A" wp14:editId="5D34A4CD">
            <wp:extent cx="4225290" cy="2385695"/>
            <wp:effectExtent l="0" t="0" r="3810" b="0"/>
            <wp:docPr id="2" name="Рисунок 2" descr="gl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u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57" w:rsidRPr="00804157" w:rsidRDefault="00804157" w:rsidP="00804157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444444"/>
          <w:sz w:val="28"/>
          <w:szCs w:val="28"/>
          <w:lang w:eastAsia="ru-RU"/>
        </w:rPr>
        <w:t>Усвоение лучше всего проходит, если принимать пилюльку вместе с едой.</w:t>
      </w:r>
    </w:p>
    <w:p w:rsidR="00804157" w:rsidRPr="00804157" w:rsidRDefault="00804157" w:rsidP="00804157">
      <w:pPr>
        <w:shd w:val="clear" w:color="auto" w:fill="FFFFFF"/>
        <w:spacing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</w:p>
    <w:p w:rsidR="00804157" w:rsidRPr="00804157" w:rsidRDefault="00804157" w:rsidP="00804157">
      <w:pPr>
        <w:spacing w:before="288" w:after="72" w:line="240" w:lineRule="atLeast"/>
        <w:textAlignment w:val="baseline"/>
        <w:outlineLvl w:val="2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Почему следует употреблять препарат?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Точно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также, как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иные лекарственные средства, глюкозамин для суставов имеет свои положительные и отрицательные моменты. К положительному можно отнести:</w:t>
      </w:r>
    </w:p>
    <w:p w:rsidR="00804157" w:rsidRPr="00804157" w:rsidRDefault="00804157" w:rsidP="0080415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Замедление деформирующих процессов относительно хрящевой ткани;</w:t>
      </w:r>
    </w:p>
    <w:p w:rsidR="00804157" w:rsidRPr="00804157" w:rsidRDefault="00804157" w:rsidP="0080415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Улучшение обменных процессов и проницаемости бурсы;</w:t>
      </w:r>
    </w:p>
    <w:p w:rsidR="00804157" w:rsidRPr="00804157" w:rsidRDefault="00804157" w:rsidP="0080415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 xml:space="preserve">Хорошая совместимость с другими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препаратами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в том числе с нестероидными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противоспалительными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глюкокортикостероидами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Как таковой, этот полисахарид нельзя назвать обезболивающим. Замещать им анальгетики будет крайне неразумно. Лекарство влияет на причины заболевания, останавливая дегенеративные механизмы внутри сустава. </w:t>
      </w:r>
      <w:proofErr w:type="spell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Хондропротектор</w:t>
      </w:r>
      <w:proofErr w:type="spell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способствует насыщению органа необходимыми веществами для дальнейшей собственной его выработки.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Польза глюкозамина неоспорима. Хотя первые результаты будут видны отнюдь не скоро. Невозможно после нескольких приемов препарата восстановить годами разрушающуюся ткань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оэтому прежде всего следует запастись терпением и не в коем случае не прекращать назначенный прием глюкозамина.</w:t>
      </w:r>
    </w:p>
    <w:p w:rsidR="00804157" w:rsidRPr="00804157" w:rsidRDefault="00804157" w:rsidP="00804157">
      <w:pPr>
        <w:spacing w:before="288" w:after="72" w:line="240" w:lineRule="atLeast"/>
        <w:textAlignment w:val="baseline"/>
        <w:outlineLvl w:val="2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Особенности дозировки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Суточная норма полисахарида не более 700 мг при лечении суставного артроза. Длительность приема препарата не менее трех месяцев. Обычно после истечения трех месяцев делают перерыв на тридцать дней, а затем снова начинают его прием.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Дозировку в обязательном порядке должен назначить ваш лечащий врач. Ни в коем случае не занимайтесь самолечением, а тем более не употребляйте лекарство в неограниченном количестве.</w:t>
      </w:r>
    </w:p>
    <w:p w:rsidR="00804157" w:rsidRPr="00804157" w:rsidRDefault="00804157" w:rsidP="00804157">
      <w:pPr>
        <w:spacing w:before="288" w:after="72" w:line="240" w:lineRule="atLeast"/>
        <w:textAlignment w:val="baseline"/>
        <w:outlineLvl w:val="2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 xml:space="preserve">Когда не стоит употреблять </w:t>
      </w:r>
      <w:proofErr w:type="gramStart"/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лекарство</w:t>
      </w:r>
      <w:proofErr w:type="gramEnd"/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 xml:space="preserve"> и </w:t>
      </w:r>
      <w:proofErr w:type="gramStart"/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какие</w:t>
      </w:r>
      <w:proofErr w:type="gramEnd"/>
      <w:r w:rsidRPr="00804157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 xml:space="preserve"> побочные действия оно оказывает?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Отменить прием лекарственного вещества необходимо людям с гиперчувствительностью к составляющим глюкозамина, а также при выраженных нарушениях функционирования печени и почек. Не рекомендуется давать детям, не достигшим возраста 14 лет.</w:t>
      </w:r>
    </w:p>
    <w:p w:rsidR="00804157" w:rsidRPr="00804157" w:rsidRDefault="00804157" w:rsidP="00804157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Лекарство может негативно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сказаться на работу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кишечника (запор, понос, спастические боли в животе); проявляться в виде нервной симптоматики (головные боли, головокружение и сонливость). Может ухудшиться зрение. Также были выявлены аллергические </w:t>
      </w:r>
      <w:proofErr w:type="gramStart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реакции</w:t>
      </w:r>
      <w:proofErr w:type="gramEnd"/>
      <w:r w:rsidRPr="00804157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на препарат проявившиеся в виде различных высыпаний.</w:t>
      </w:r>
    </w:p>
    <w:p w:rsidR="005C42E1" w:rsidRPr="00804157" w:rsidRDefault="005C42E1">
      <w:pPr>
        <w:rPr>
          <w:rFonts w:ascii="Georgia" w:hAnsi="Georgia"/>
          <w:sz w:val="28"/>
          <w:szCs w:val="28"/>
        </w:rPr>
      </w:pPr>
    </w:p>
    <w:sectPr w:rsidR="005C42E1" w:rsidRPr="0080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71DE"/>
    <w:multiLevelType w:val="multilevel"/>
    <w:tmpl w:val="535ED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57"/>
    <w:rsid w:val="005C42E1"/>
    <w:rsid w:val="008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4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4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157"/>
    <w:rPr>
      <w:b/>
      <w:bCs/>
    </w:rPr>
  </w:style>
  <w:style w:type="character" w:customStyle="1" w:styleId="apple-converted-space">
    <w:name w:val="apple-converted-space"/>
    <w:basedOn w:val="a0"/>
    <w:rsid w:val="00804157"/>
  </w:style>
  <w:style w:type="character" w:styleId="a5">
    <w:name w:val="Hyperlink"/>
    <w:basedOn w:val="a0"/>
    <w:uiPriority w:val="99"/>
    <w:semiHidden/>
    <w:unhideWhenUsed/>
    <w:rsid w:val="008041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4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4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157"/>
    <w:rPr>
      <w:b/>
      <w:bCs/>
    </w:rPr>
  </w:style>
  <w:style w:type="character" w:customStyle="1" w:styleId="apple-converted-space">
    <w:name w:val="apple-converted-space"/>
    <w:basedOn w:val="a0"/>
    <w:rsid w:val="00804157"/>
  </w:style>
  <w:style w:type="character" w:styleId="a5">
    <w:name w:val="Hyperlink"/>
    <w:basedOn w:val="a0"/>
    <w:uiPriority w:val="99"/>
    <w:semiHidden/>
    <w:unhideWhenUsed/>
    <w:rsid w:val="008041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056">
              <w:marLeft w:val="0"/>
              <w:marRight w:val="0"/>
              <w:marTop w:val="0"/>
              <w:marBottom w:val="360"/>
              <w:divBdr>
                <w:top w:val="single" w:sz="12" w:space="0" w:color="700000"/>
                <w:left w:val="single" w:sz="12" w:space="0" w:color="700000"/>
                <w:bottom w:val="single" w:sz="12" w:space="0" w:color="700000"/>
                <w:right w:val="single" w:sz="12" w:space="0" w:color="700000"/>
              </w:divBdr>
              <w:divsChild>
                <w:div w:id="15719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2017-02-24T06:50:00Z</dcterms:created>
  <dcterms:modified xsi:type="dcterms:W3CDTF">2017-02-24T06:52:00Z</dcterms:modified>
</cp:coreProperties>
</file>